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Diagnosing and Calibrating Tool-Call Boundary Drift in Multi-Teacher On-Policy Distillation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https://huggingface.co/papers/2607.07050</w:t>
      </w:r>
    </w:p>
    <w:p>
      <w:pPr>
        <w:pStyle w:val="ListParagraph"/>
        <w:numPr>
          <w:ilvl w:val="0"/>
          <w:numId w:val="1"/>
        </w:numPr>
      </w:pPr>
      <w:r>
        <w:t xml:space="preserve">作者：Jiabin Shen, Guang Chen, Chengjun Mao</w:t>
      </w:r>
    </w:p>
    <w:p/>
    <w:p>
      <w:r>
        <w:rPr>
          <w:i/>
          <w:iCs/>
        </w:rPr>
        <w:t xml:space="preserve">多教师蒸馏中模型过度调用工具的校准方法。</w:t>
      </w:r>
    </w:p>
    <w:p/>
    <w:p>
      <w:pPr>
        <w:pStyle w:val="Heading2"/>
      </w:pPr>
      <w:r>
        <w:t xml:space="preserve">概要</w:t>
      </w:r>
    </w:p>
    <w:p/>
    <w:p>
      <w:r>
        <w:t xml:space="preserve">本文指出多教师在线策略蒸馏（on-policy distillation）中，工具调用教师和直接回答教师并行训练时，模型会倾向过度调用工具（over-calling）。作者发现这种行为偏差无法从聚合损失中观测，而是源于特定token（如&lt;tool_call&gt;）上的行为杠杆不平衡。他们提出Soft Clamp方法，在token层级动态压缩极端JS散度，使APIGen-MT上的over-calling率从13.7%降至9.0%，且决策准确率不变；在BFCL多轮诊断中降低了工具调用循环和重复调用。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直接用于导购/agent产品：在训练一个能自主决定何时调用搜索/计算等工具的agent时，会遇到类似的over-calling问题。Soft Clamp可以作为一个校准层，在蒸馏或微调时抑制模型不必要的工具调用，提升效率并减少延迟。\n2. 改变技术选型判断：之前我主要关注聚合损失或准确率来评估蒸馏效果，现在意识到需要监测token级别的偏离，尤其是结构化标记（如工具调用标记）。这会让我在训练agent时加入更细粒度的诊断指标，而不仅看整体指标。\n3. 接下来行动：在个人论文情报系统中，我会记录该方法的实现细节，以便在下一个agent训练迭代中尝试。同时，我会关注后续是否有更通用的边界漂移检测和校准方案。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2026-09-02T19:14:22.052Z</dcterms:created>
  <dcterms:modified xsi:type="dcterms:W3CDTF">2026-09-02T19:14:22.052Z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