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BatchDAG: LLM-Planned Execution Graphs for Scalable Ad-Hoc Analysis Over Enterprise Data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https://arxiv.org/abs/2607.18241</w:t>
      </w:r>
    </w:p>
    <w:p>
      <w:pPr>
        <w:pStyle w:val="ListParagraph"/>
        <w:numPr>
          <w:ilvl w:val="0"/>
          <w:numId w:val="1"/>
        </w:numPr>
      </w:pPr>
      <w:r>
        <w:t xml:space="preserve">作者：Anupreet Walia</w:t>
      </w:r>
    </w:p>
    <w:p/>
    <w:p>
      <w:r>
        <w:rPr>
          <w:i/>
          <w:iCs/>
        </w:rPr>
        <w:t xml:space="preserve">LLM规划DAG+实体分批，企业级分析成本降47倍</w:t>
      </w:r>
    </w:p>
    <w:p/>
    <w:p>
      <w:pPr>
        <w:pStyle w:val="Heading2"/>
      </w:pPr>
      <w:r>
        <w:t xml:space="preserve">概要</w:t>
      </w:r>
    </w:p>
    <w:p/>
    <w:p>
      <w:r>
        <w:t xml:space="preserve">BatchDAG 让 LLM 生成一个带类型的 DAG（包含 SQL、语义搜索、并行扇出等操作），由确定性引擎按拓扑波并行执行，并通过实体感知分批将 LLM 调用减少 47 倍。在 12 个密集查询上，质量（3.74/5）优于专家流程（3.25/5）和 ReAct agent（3.09/5），溯源证据率 77% 高于基线。结构化 JSON 中间结果比散文摘要减少 27% 幻觉。生产环境处理 5 万+会议时延 &lt;60 秒，单查询成本 $0.02–$0.24。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Agent 导购产品：可直接复用 BatchDAG 的 DAG+实体分批范式来处理复杂跨实体查询（如比较多个商品策略），替代当前顺序 tool-call 流程，降低成本并提高稳定性。</w:t>
      </w:r>
    </w:p>
    <w:p>
      <w:r>
        <w:t xml:space="preserve">2. 技术选型判断：原本倾向使用 ReAct 或 Plan-and-Execute，现在应优先考虑 DAG 调度。实体分批是实用的降本策略，值得集成。</w:t>
      </w:r>
    </w:p>
    <w:p>
      <w:r>
        <w:t xml:space="preserve">3. 下一步：阅读全文实现细节，尝试在项目中用 DAG 替换现有 agent 循环，优先在数据聚合类查询场景进行 A/B 测试。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2026-09-02T19:19:43.417Z</dcterms:created>
  <dcterms:modified xsi:type="dcterms:W3CDTF">2026-09-02T19:19:43.417Z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