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Keep It InMind: Benchmarking the Implicit-Association Blind Spot in Agent Memory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https://huggingface.co/papers/2607.24368</w:t>
      </w:r>
    </w:p>
    <w:p>
      <w:pPr>
        <w:pStyle w:val="ListParagraph"/>
        <w:numPr>
          <w:ilvl w:val="0"/>
          <w:numId w:val="1"/>
        </w:numPr>
      </w:pPr>
      <w:r>
        <w:t xml:space="preserve">作者：Ruizhe Li, Mingxuan Du, Benfeng Xu, Zhendong Mao</w:t>
      </w:r>
    </w:p>
    <w:p/>
    <w:p>
      <w:r>
        <w:rPr>
          <w:i/>
          <w:iCs/>
        </w:rPr>
        <w:t xml:space="preserve">揭示隐式关联盲点：现有记忆系统严重缺失跨知识链检索能力</w:t>
      </w:r>
    </w:p>
    <w:p/>
    <w:p>
      <w:pPr>
        <w:pStyle w:val="Heading2"/>
      </w:pPr>
      <w:r>
        <w:t xml:space="preserve">概要</w:t>
      </w:r>
    </w:p>
    <w:p/>
    <w:p>
      <w:r>
        <w:t xml:space="preserve">论文发现了一个LLM记忆系统的关键盲点：当需要利用隐含知识进行推理时（如坚果过敏 → 杏仁粉做的马卡龙不应推荐），现有检索器无法关联表面不相似的内容。作者构建了InMind基准，包含125个跨10个生活领域的任务，其中113个有可验证来源。实验显示，当需要检索的线索直接出现在上下文中时，模型回答正确率84%，但经六种主流记忆系统检索后，最高仅14.4%。增加嵌入维度无法改善。诊断实验表明问题出在查询驱动的检索接口本身，提示需要路由式的预激活机制。</w:t>
      </w:r>
    </w:p>
    <w:p/>
    <w:p>
      <w:pPr>
        <w:pStyle w:val="Heading2"/>
      </w:pPr>
      <w:r>
        <w:t xml:space="preserve">对我的影响</w:t>
      </w:r>
    </w:p>
    <w:p/>
    <w:p>
      <w:pPr>
        <w:pStyle w:val="ListParagraph"/>
        <w:numPr>
          <w:ilvl w:val="0"/>
          <w:numId w:val="1"/>
        </w:numPr>
      </w:pPr>
      <w:r>
        <w:t xml:space="preserve">**对导购agent产品的直接影响**：这正是我导购产品面临的核心问题——用户可能说过“我对坚果过敏”，后来问“马卡龙推荐”，现有记忆系统无法自动关联。必须放弃纯向量检索，引入预激活路由或基于知识图谱的推理链。</w:t>
      </w:r>
    </w:p>
    <w:p>
      <w:pPr>
        <w:pStyle w:val="ListParagraph"/>
        <w:numPr>
          <w:ilvl w:val="0"/>
          <w:numId w:val="1"/>
        </w:numPr>
      </w:pPr>
      <w:r>
        <w:t xml:space="preserve">**判断改变**：之前认为记忆系统的瓶颈在存储容量或检索速度，现在认识到**检索接口的“隐式关联盲点”才是关键**。这可能推翻了大多数记忆系统的假设，即“需要的记忆会类似查询”。</w:t>
      </w:r>
    </w:p>
    <w:p>
      <w:pPr>
        <w:pStyle w:val="ListParagraph"/>
        <w:numPr>
          <w:ilvl w:val="0"/>
          <w:numId w:val="1"/>
        </w:numPr>
      </w:pPr>
      <w:r>
        <w:t xml:space="preserve">**下一步行动**：1) 读全文，重点看其诊断探针和路由设计；2) 在导购场景跑InMind中的类似任务（如食物过敏线），验证盲点严重程度；3) 考虑在项目中加入“记忆预激活”或“推理时手动注入相关记忆”的临时方案。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2026-09-02T19:20:39.046Z</dcterms:created>
  <dcterms:modified xsi:type="dcterms:W3CDTF">2026-09-02T19:20:39.046Z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