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Teaching LLMs to Update Beliefs for Efficient Long-Horizon Interaction</w:t>
      </w:r>
    </w:p>
    <w:p>
      <w:pPr>
        <w:pStyle w:val="ListParagraph"/>
        <w:numPr>
          <w:ilvl w:val="0"/>
          <w:numId w:val="1"/>
        </w:numPr>
      </w:pPr>
      <w:r>
        <w:t xml:space="preserve">来源：blog · http://bair.berkeley.edu/blog/2026/07/26/abbel/</w:t>
      </w:r>
    </w:p>
    <w:p/>
    <w:p>
      <w:r>
        <w:rPr>
          <w:i/>
          <w:iCs/>
        </w:rPr>
        <w:t xml:space="preserve">用“信念状态”监督摘要训练，让LLM长交互更省内存、效果更好。</w:t>
      </w:r>
    </w:p>
    <w:p/>
    <w:p>
      <w:pPr>
        <w:pStyle w:val="Heading2"/>
      </w:pPr>
      <w:r>
        <w:t xml:space="preserve">概要</w:t>
      </w:r>
    </w:p>
    <w:p/>
    <w:p>
      <w:r>
        <w:t xml:space="preserve">ABBEL 提出将每轮总结显式建模为“信念状态”（belief state），并引入信念评分（belief grading）机制——通过重构损失来监督摘要中的信息含量。在协作编程、猜词和多目标QA三个场景中，ABBEL 相比传统递归摘要，能将全上下文模型的性能差距缩小约一半，且训练步数减少50%，同时峰值token数显著降低。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导购/Agent产品可用：当前导购agent在多轮对话中上下文增长过快，ABBEL的信念状态方法可以直接用于压缩历史，节省推理成本。尤其适合需要记忆用户偏好和产品对比的导购场景。</w:t>
      </w:r>
    </w:p>
    <w:p>
      <w:r>
        <w:t xml:space="preserve">2. 改变判断：之前认为递归摘要的效果瓶颈在数据量，ABBEL表明“监督摘要内容”比单纯增加数据更关键，这启发我在项目中可以尝试类似的重构损失来训练摘要模块。</w:t>
      </w:r>
    </w:p>
    <w:p>
      <w:r>
        <w:t xml:space="preserve">3. 接下来做什么：准备在导购agent的对话存档模块中，用GPT-4模拟实现信念状态的雏形（轮次摘要+关键信息提取），验证效果后再考虑用ABEL方法微调小模型。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2026-09-02T19:19:31.593Z</dcterms:created>
  <dcterms:modified xsi:type="dcterms:W3CDTF">2026-09-02T19:19:31.593Z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