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Agentic Context Management: Solving Agent Memory and Cost by Treating Them as Lifecycle and Architecture Problems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https://huggingface.co/papers/2607.21503</w:t>
      </w:r>
    </w:p>
    <w:p>
      <w:pPr>
        <w:pStyle w:val="ListParagraph"/>
        <w:numPr>
          <w:ilvl w:val="0"/>
          <w:numId w:val="1"/>
        </w:numPr>
      </w:pPr>
      <w:r>
        <w:t xml:space="preserve">作者：Gaurav Dadhich</w:t>
      </w:r>
    </w:p>
    <w:p/>
    <w:p>
      <w:r>
        <w:rPr>
          <w:i/>
          <w:iCs/>
        </w:rPr>
        <w:t xml:space="preserve">将Agent记忆从存储问题重构为生命周期管理问题，给出五原语与线性代价精炼方案。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本文提出Agentic Context Management（ACM）概念，认为Agent失败主因不是推理能力不足，而是上下文管理失败（对话历史、工具定义输出膨胀）。ACM包含五原语：架构、摄取、范围界定、预判、压缩与整合。经济分析显示，朴素累积导致平方级token成本，简单摘要得线性成本但精度陡降，只有验证过的压缩实现线性成本且保真度不损。参考实现Maximem Synap在LongMemEval和LoCoMo上达92%和93.2%。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可用进导购/Agent产品：导购Agent同样面临长对话上下文膨胀、跨会话记忆丢失问题。ACM的五原语为设计记忆模块提供了系统框架，尤其是“预判”下一步需要的上下文和“压缩到预算内”的能力。可以借鉴其把记忆按生命周期管理，而非简单存到向量库。</w:t>
      </w:r>
    </w:p>
    <w:p/>
    <w:p>
      <w:r>
        <w:t xml:space="preserve">2. 改变判断：之前我认为RAG（向量检索）是解决长上下文记忆的主要方式。本文揭示仅靠存储检索框架太窄，必须主动管理上下文生命周期，包括结构化提取、按数据类型选存储、遗忘并保留溯源。启发我应重新评估当前导购Agent的记忆架构，加入主动压缩和预判机制。</w:t>
      </w:r>
    </w:p>
    <w:p/>
    <w:p>
      <w:r>
        <w:t xml:space="preserve">3. 下一步行动：精读论文具体实现的五原语细节，尤其是压缩验证方法；评估其参考实现与导购场景的结合点（如多租户组织层级可映射到用户/会话/产品属性层级）；考虑在原型中实验类似策略，对比当前简单滑动窗口+摘要的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2026-09-02T19:15:58.071Z</dcterms:created>
  <dcterms:modified xsi:type="dcterms:W3CDTF">2026-09-02T19:15:58.071Z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