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Model or Harness? An Interaction-Centric Taxonomy for Localizing Agent Failures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https://huggingface.co/papers/2607.28802</w:t>
      </w:r>
    </w:p>
    <w:p>
      <w:pPr>
        <w:pStyle w:val="ListParagraph"/>
        <w:numPr>
          <w:ilvl w:val="0"/>
          <w:numId w:val="1"/>
        </w:numPr>
      </w:pPr>
      <w:r>
        <w:t xml:space="preserve">作者：Harsh Raj, Vipul Gupta, Anas Mahmoud, Razvan-Gabriel Dumitru, Darvin Yi, Aakash Sabharwal, Yunzhong He</w:t>
      </w:r>
    </w:p>
    <w:p/>
    <w:p>
      <w:r>
        <w:rPr>
          <w:i/>
          <w:iCs/>
        </w:rPr>
        <w:t xml:space="preserve">从交互定位Agent失败源，给出可执行的修复分配框架。</w:t>
      </w:r>
    </w:p>
    <w:p/>
    <w:p>
      <w:pPr>
        <w:pStyle w:val="Heading2"/>
      </w:pPr>
      <w:r>
        <w:t xml:space="preserve">概要</w:t>
      </w:r>
    </w:p>
    <w:p/>
    <w:p>
      <w:r>
        <w:t xml:space="preserve">该论文提出一个以交互为中心的Agent失败分类法，将41种失败模式归因于模型、框架、环境等组件间的交互边，并明确修复责任方。通过公共基准和真实日志验证，用四个前沿模型作为评判者，达到了与人类标签高度一致（Cohen's kappa=0.76）。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用于导购Agent调试：可以直接采用该分类法，当导购Agent在工具调用或记忆读取出错时，快速定位是模型后训练问题还是编排/harness问题，提升迭代效率。</w:t>
      </w:r>
    </w:p>
    <w:p>
      <w:r>
        <w:t xml:space="preserve">2. 改变技术选型判断：以往遇到Agent失败，常首要考虑换更强模型，现在意识到很多失败源于harness或环境设计，应优先检查工具集成和记忆管理，再决定是否后训练。</w:t>
      </w:r>
    </w:p>
    <w:p>
      <w:r>
        <w:t xml:space="preserve">3. 行动建议：通读全文，提取适合我们导购场景的失败模式子集，并将其整合到内部评测体系中，作为回归测试的标签体系。后续关注作者是否开源分类工具。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2026-09-02T19:21:55.577Z</dcterms:created>
  <dcterms:modified xsi:type="dcterms:W3CDTF">2026-09-02T19:21:55.577Z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