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 New Role for Relevance: Guiding Corpus Interaction in Agentic Search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https://huggingface.co/papers/2607.24223</w:t>
      </w:r>
    </w:p>
    <w:p>
      <w:pPr>
        <w:pStyle w:val="ListParagraph"/>
        <w:numPr>
          <w:ilvl w:val="0"/>
          <w:numId w:val="1"/>
        </w:numPr>
      </w:pPr>
      <w:r>
        <w:t xml:space="preserve">作者：Jiangnan Li, Yuqing Li, Mo Yu, Jinchao Zhang, Jie Zhou</w:t>
      </w:r>
    </w:p>
    <w:p/>
    <w:p>
      <w:r>
        <w:rPr>
          <w:i/>
          <w:iCs/>
        </w:rPr>
        <w:t xml:space="preserve">RARG用相关性引导文件交互，提升Agent搜索效率与准确性。</w:t>
      </w:r>
    </w:p>
    <w:p/>
    <w:p>
      <w:pPr>
        <w:pStyle w:val="Heading2"/>
      </w:pPr>
      <w:r>
        <w:t xml:space="preserve">概要</w:t>
      </w:r>
    </w:p>
    <w:p/>
    <w:p>
      <w:r>
        <w:t xml:space="preserve">本文提出RARG（Relevance-Aware RipGrep Search Agent），将相关性作为文件交互的执行先验，通过粗到细的引导：按相关性排序文件优先遍历、用查询相关段落初始化入口点、重排grep匹配结果突出信息片段。在复杂问答和推理密集型检索任务上，RARG超越了基于检索和直接交互的Agent，在准确性和效率上实现了更好的平衡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导购Agent应用：导购场景常需多步推理和精确信息定位，RARG的相关性引导交互可直接用于改进我的Agent的知识检索模块，减少无效遍历，加快响应速度。</w:t>
      </w:r>
    </w:p>
    <w:p>
      <w:r>
        <w:t xml:space="preserve">2. 技术选型启发：之前我主要关注检索+LLM的边看边想模式，RARG展示了将相关性作为搜索策略先验的有效性，改变了我认为“检索就是top-k+重排”的简单认识，未来可考虑引入类似的分阶段引导策略。</w:t>
      </w:r>
    </w:p>
    <w:p>
      <w:r>
        <w:t xml:space="preserve">3. 后续行动：读全文理解其粗到细引导的具体实现，并尝试在导购Agent的本地文件/知识库检索中复现类似机制，评估在电商导购复杂查询下的效果。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2026-09-02T19:21:02.218Z</dcterms:created>
  <dcterms:modified xsi:type="dcterms:W3CDTF">2026-09-02T19:21:02.218Z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